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bookmarkStart w:id="0" w:name="_GoBack"/>
      <w:bookmarkEnd w:id="0"/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:rsidR="00F840BD" w:rsidRPr="00D41F11" w:rsidRDefault="00F840BD" w:rsidP="00F840BD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>Il sottoscritto avv. Enrico Sordi, nato a Parma (PR) il 15 febbraio 1952,  in vista del conferimento dell’incarico di difensore, nell’interesse della Azienda Ospedaliera San Giovanni Addolorata, nel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DA7AEB">
        <w:rPr>
          <w:rFonts w:ascii="Arial Narrow" w:hAnsi="Arial Narrow" w:cs="Calibri"/>
          <w:i/>
          <w:color w:val="000000"/>
        </w:rPr>
        <w:t xml:space="preserve">ricorso per cassazione </w:t>
      </w:r>
      <w:r w:rsidR="00DA7AEB">
        <w:rPr>
          <w:rFonts w:ascii="Arial Narrow" w:hAnsi="Arial Narrow" w:cs="Calibri"/>
          <w:color w:val="000000"/>
        </w:rPr>
        <w:t xml:space="preserve">con facoltà di </w:t>
      </w:r>
      <w:r w:rsidR="00DA7AEB">
        <w:rPr>
          <w:rFonts w:ascii="Arial Narrow" w:hAnsi="Arial Narrow" w:cs="Calibri"/>
          <w:i/>
          <w:color w:val="000000"/>
        </w:rPr>
        <w:t xml:space="preserve">istanza di sospensiva </w:t>
      </w:r>
      <w:r>
        <w:rPr>
          <w:rFonts w:ascii="Arial Narrow" w:hAnsi="Arial Narrow" w:cs="Calibri"/>
          <w:color w:val="000000"/>
        </w:rPr>
        <w:t>avverso</w:t>
      </w:r>
      <w:r w:rsidRPr="00D41F11">
        <w:rPr>
          <w:rFonts w:ascii="Arial Narrow" w:hAnsi="Arial Narrow" w:cs="Calibri"/>
          <w:color w:val="000000"/>
        </w:rPr>
        <w:t xml:space="preserve"> </w:t>
      </w:r>
      <w:r w:rsidR="00DA7AEB">
        <w:rPr>
          <w:rFonts w:ascii="Arial Narrow" w:hAnsi="Arial Narrow" w:cs="Calibri"/>
          <w:color w:val="000000"/>
        </w:rPr>
        <w:t xml:space="preserve">la sentenza n. 5930/2017 della Corte di Appello di Roma – sezione 3° - C. Rel. dr.ssa Persi </w:t>
      </w:r>
    </w:p>
    <w:p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DA7AE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DA7AEB">
              <w:rPr>
                <w:rFonts w:ascii="Arial Narrow" w:hAnsi="Arial Narrow" w:cs="Calibri"/>
                <w:color w:val="000000"/>
              </w:rPr>
              <w:t>5 ottobre 2017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Allegare copia del documento di riconoscimento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D.Lgs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D.Lgs 39/2013 – </w:t>
      </w:r>
      <w:r w:rsidRPr="00D41F11">
        <w:rPr>
          <w:rFonts w:ascii="Arial Narrow" w:hAnsi="Arial Narrow"/>
          <w:color w:val="000000"/>
        </w:rPr>
        <w:t>dichiarazione sulla insussistenza di cause di inconferibilità o incompatibilità;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DA7AE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DA7AEB">
              <w:rPr>
                <w:rFonts w:ascii="Arial Narrow" w:hAnsi="Arial Narrow" w:cs="Calibri"/>
                <w:color w:val="000000"/>
              </w:rPr>
              <w:t>5</w:t>
            </w:r>
            <w:r>
              <w:rPr>
                <w:rFonts w:ascii="Arial Narrow" w:hAnsi="Arial Narrow" w:cs="Calibri"/>
                <w:color w:val="000000"/>
              </w:rPr>
              <w:t xml:space="preserve"> o</w:t>
            </w:r>
            <w:r w:rsidR="00DA7AEB">
              <w:rPr>
                <w:rFonts w:ascii="Arial Narrow" w:hAnsi="Arial Narrow" w:cs="Calibri"/>
                <w:color w:val="000000"/>
              </w:rPr>
              <w:t>ttobre</w:t>
            </w:r>
            <w:r>
              <w:rPr>
                <w:rFonts w:ascii="Arial Narrow" w:hAnsi="Arial Narrow" w:cs="Calibri"/>
                <w:color w:val="000000"/>
              </w:rPr>
              <w:t xml:space="preserve"> 2017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246A44" w:rsidRPr="00F840BD" w:rsidRDefault="00246A44" w:rsidP="00F840BD"/>
    <w:sectPr w:rsidR="00246A44" w:rsidRPr="00F840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27" w:rsidRDefault="00216B27" w:rsidP="007943DC">
      <w:r>
        <w:separator/>
      </w:r>
    </w:p>
  </w:endnote>
  <w:endnote w:type="continuationSeparator" w:id="0">
    <w:p w:rsidR="00216B27" w:rsidRDefault="00216B27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78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78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27" w:rsidRDefault="00216B27" w:rsidP="007943DC">
      <w:r>
        <w:separator/>
      </w:r>
    </w:p>
  </w:footnote>
  <w:footnote w:type="continuationSeparator" w:id="0">
    <w:p w:rsidR="00216B27" w:rsidRDefault="00216B27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16B27"/>
    <w:rsid w:val="00246A44"/>
    <w:rsid w:val="002544DC"/>
    <w:rsid w:val="00437E31"/>
    <w:rsid w:val="0045784F"/>
    <w:rsid w:val="005F15CE"/>
    <w:rsid w:val="007302D8"/>
    <w:rsid w:val="007943DC"/>
    <w:rsid w:val="009855F7"/>
    <w:rsid w:val="00CA0265"/>
    <w:rsid w:val="00DA7AEB"/>
    <w:rsid w:val="00E20225"/>
    <w:rsid w:val="00F222C3"/>
    <w:rsid w:val="00F840BD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1AB1-97AB-4385-BA80-05C0B141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CBE23C5E.dotm</Template>
  <TotalTime>0</TotalTime>
  <Pages>2</Pages>
  <Words>998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Garbini Roberto</cp:lastModifiedBy>
  <cp:revision>2</cp:revision>
  <cp:lastPrinted>2017-10-05T15:05:00Z</cp:lastPrinted>
  <dcterms:created xsi:type="dcterms:W3CDTF">2017-10-10T09:40:00Z</dcterms:created>
  <dcterms:modified xsi:type="dcterms:W3CDTF">2017-10-10T09:40:00Z</dcterms:modified>
</cp:coreProperties>
</file>