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6FAC7" w14:textId="62AF371F" w:rsid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bookmarkStart w:id="0" w:name="_GoBack"/>
      <w:bookmarkEnd w:id="0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s.m.i.</w:t>
      </w:r>
      <w:proofErr w:type="spellEnd"/>
    </w:p>
    <w:p w14:paraId="76E295AC" w14:textId="77777777" w:rsidR="00731C90" w:rsidRPr="005F15CE" w:rsidRDefault="00731C90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</w:p>
    <w:p w14:paraId="2263EA5A" w14:textId="2668B872" w:rsidR="00731C90" w:rsidRDefault="005F15CE" w:rsidP="005F15CE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sottoscritto</w:t>
      </w:r>
      <w:r w:rsidR="004E502A">
        <w:rPr>
          <w:rFonts w:ascii="GillSans" w:hAnsi="GillSans" w:cs="Calibri"/>
          <w:color w:val="000000"/>
          <w:sz w:val="22"/>
          <w:szCs w:val="22"/>
        </w:rPr>
        <w:t xml:space="preserve"> Avv. Vincenzo Del Duca </w:t>
      </w:r>
      <w:r w:rsidR="00731C90">
        <w:rPr>
          <w:rFonts w:ascii="GillSans" w:hAnsi="GillSans" w:cs="Calibri"/>
          <w:color w:val="000000"/>
          <w:sz w:val="22"/>
          <w:szCs w:val="22"/>
        </w:rPr>
        <w:t xml:space="preserve">del Foro di Roma </w:t>
      </w:r>
      <w:r w:rsidR="004E502A">
        <w:rPr>
          <w:rFonts w:ascii="GillSans" w:hAnsi="GillSans" w:cs="Calibri"/>
          <w:color w:val="000000"/>
          <w:sz w:val="22"/>
          <w:szCs w:val="22"/>
        </w:rPr>
        <w:t xml:space="preserve">(DLDVCN78T26I712V),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nato </w:t>
      </w:r>
      <w:r w:rsidR="004E502A">
        <w:rPr>
          <w:rFonts w:ascii="GillSans" w:hAnsi="GillSans" w:cs="Calibri"/>
          <w:color w:val="000000"/>
          <w:sz w:val="22"/>
          <w:szCs w:val="22"/>
        </w:rPr>
        <w:t>a Sezze (LT) il 26.12.1978, in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vista del conferimento dell’incarico di </w:t>
      </w:r>
      <w:r w:rsidR="004E502A">
        <w:rPr>
          <w:rFonts w:ascii="GillSans" w:hAnsi="GillSans" w:cs="Calibri"/>
          <w:color w:val="000000"/>
          <w:sz w:val="22"/>
          <w:szCs w:val="22"/>
        </w:rPr>
        <w:t xml:space="preserve">patrocinio giudiziale </w:t>
      </w:r>
      <w:r w:rsidRPr="005F15CE">
        <w:rPr>
          <w:rFonts w:ascii="GillSans" w:hAnsi="GillSans" w:cs="Calibri"/>
          <w:color w:val="000000"/>
          <w:sz w:val="22"/>
          <w:szCs w:val="22"/>
        </w:rPr>
        <w:t>in materia di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4E502A">
        <w:rPr>
          <w:rFonts w:ascii="GillSans" w:hAnsi="GillSans" w:cs="Calibri"/>
          <w:color w:val="000000"/>
          <w:sz w:val="22"/>
          <w:szCs w:val="22"/>
        </w:rPr>
        <w:t xml:space="preserve">responsabilità medico-professionale </w:t>
      </w:r>
      <w:r w:rsidR="00731C90">
        <w:rPr>
          <w:rFonts w:ascii="GillSans" w:hAnsi="GillSans" w:cs="Calibri"/>
          <w:color w:val="000000"/>
          <w:sz w:val="22"/>
          <w:szCs w:val="22"/>
        </w:rPr>
        <w:t xml:space="preserve">per l’introduzione di procedimento civile in grado d’appello </w:t>
      </w:r>
      <w:r w:rsidR="009C7088">
        <w:rPr>
          <w:rFonts w:ascii="GillSans" w:hAnsi="GillSans" w:cs="Calibri"/>
          <w:color w:val="000000"/>
          <w:sz w:val="22"/>
          <w:szCs w:val="22"/>
        </w:rPr>
        <w:t xml:space="preserve">dinanzi alla Corte d’Appello di Roma </w:t>
      </w:r>
      <w:r w:rsidR="00731C90">
        <w:rPr>
          <w:rFonts w:ascii="GillSans" w:hAnsi="GillSans" w:cs="Calibri"/>
          <w:color w:val="000000"/>
          <w:sz w:val="22"/>
          <w:szCs w:val="22"/>
        </w:rPr>
        <w:t xml:space="preserve">avverso la sentenza del Tribunale Ordinario di Roma </w:t>
      </w:r>
      <w:r w:rsidR="009C7088">
        <w:rPr>
          <w:rFonts w:ascii="GillSans" w:hAnsi="GillSans" w:cs="Calibri"/>
          <w:color w:val="000000"/>
          <w:sz w:val="22"/>
          <w:szCs w:val="22"/>
        </w:rPr>
        <w:t xml:space="preserve">- </w:t>
      </w:r>
      <w:r w:rsidR="00731C90">
        <w:rPr>
          <w:rFonts w:ascii="GillSans" w:hAnsi="GillSans" w:cs="Calibri"/>
          <w:color w:val="000000"/>
          <w:sz w:val="22"/>
          <w:szCs w:val="22"/>
        </w:rPr>
        <w:t>Sez. XIII Civile n. 12461/2020 del 16.09.2020 (controparte: G.C.)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731C90">
        <w:rPr>
          <w:rFonts w:ascii="GillSans" w:hAnsi="GillSans" w:cs="Calibri"/>
          <w:color w:val="000000"/>
          <w:sz w:val="22"/>
          <w:szCs w:val="22"/>
        </w:rPr>
        <w:t>nel</w:t>
      </w:r>
      <w:r w:rsidRPr="005F15CE">
        <w:rPr>
          <w:rFonts w:ascii="GillSans" w:hAnsi="GillSans" w:cs="Calibri"/>
          <w:color w:val="000000"/>
          <w:sz w:val="22"/>
          <w:szCs w:val="22"/>
        </w:rPr>
        <w:t>l’</w:t>
      </w:r>
      <w:r w:rsidR="00731C90">
        <w:rPr>
          <w:rFonts w:ascii="GillSans" w:hAnsi="GillSans" w:cs="Calibri"/>
          <w:color w:val="000000"/>
          <w:sz w:val="22"/>
          <w:szCs w:val="22"/>
        </w:rPr>
        <w:t>interesse ed in difesa dell’</w:t>
      </w:r>
      <w:r w:rsidRPr="005F15CE">
        <w:rPr>
          <w:rFonts w:ascii="GillSans" w:hAnsi="GillSans" w:cs="Calibri"/>
          <w:color w:val="000000"/>
          <w:sz w:val="22"/>
          <w:szCs w:val="22"/>
        </w:rPr>
        <w:t>Azienda Ospedaliera San Giovanni Addolorata</w:t>
      </w:r>
    </w:p>
    <w:p w14:paraId="6F2E6A41" w14:textId="77777777" w:rsidR="00731C90" w:rsidRPr="005F15CE" w:rsidRDefault="00731C90" w:rsidP="005F15CE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</w:p>
    <w:p w14:paraId="473374E2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la disciplina dettata dalla Legge n. 190 del 06.11.2012, recante norme sulla prevenzione e sul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contrasto alla corruzione nella pubblica amministrazione, e successivi decreti delegati;</w:t>
      </w:r>
    </w:p>
    <w:p w14:paraId="1C17CCBC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la Determinazione ANAC n. 12 del 28.10.2015;</w:t>
      </w:r>
    </w:p>
    <w:p w14:paraId="581603F0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Piano Triennale di Prevenzione della Corruzione approvato in ambito aziendale con Deliberazione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n. 23/DG del 29.01.2016;</w:t>
      </w:r>
    </w:p>
    <w:p w14:paraId="5FA1FE81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l’art. 2 del Codice di comportamento del dipendente pubblico di cui al DPR 62/2013, che disciplina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l’ipotesi di conflitto di interessi nonché il conseguente obbligo di astensione posto a carico del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lavoratore;</w:t>
      </w:r>
    </w:p>
    <w:p w14:paraId="64AD7F6A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Codice Etico – comportamentale adottato con Deliberazione n. 63/DG FF del 31.01.2014, che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trova applicazione ai dipendenti ed in generale ai soggetti che a qualsiasi titolo- collaborano con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questa Amministrazione;</w:t>
      </w:r>
    </w:p>
    <w:p w14:paraId="6EFDFC91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delle sanzioni previste dal codice penale per l’ipotesi di dichiarazione mendace, nonché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degli ulteriori effetti previsti ex artt. 75 e 76 del DPR n. 445/2000 e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smi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(decadenza del beneficio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acquisito in virtù di provvedimento emanato in base a una dichiarazione non veritiera);</w:t>
      </w:r>
    </w:p>
    <w:p w14:paraId="20CF3892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</w:p>
    <w:p w14:paraId="48B9F01C" w14:textId="7E610DD9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alle dipendenze della Pubblica </w:t>
      </w:r>
      <w:r w:rsidRPr="002544DC">
        <w:rPr>
          <w:rFonts w:ascii="GillSans" w:hAnsi="GillSans" w:cs="Calibri"/>
          <w:color w:val="000000"/>
          <w:sz w:val="22"/>
          <w:szCs w:val="22"/>
        </w:rPr>
        <w:t>Amministrazione</w:t>
      </w:r>
      <w:r w:rsidR="004E502A">
        <w:rPr>
          <w:rFonts w:ascii="GillSans" w:hAnsi="GillSans" w:cs="Calibri"/>
          <w:color w:val="000000"/>
          <w:sz w:val="22"/>
          <w:szCs w:val="22"/>
        </w:rPr>
        <w:t>: NO;</w:t>
      </w:r>
    </w:p>
    <w:p w14:paraId="203D4F6B" w14:textId="77777777" w:rsidR="005F15CE" w:rsidRPr="005F15CE" w:rsidRDefault="005F15CE" w:rsidP="00254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di non essere alle dipendenze della Pubblica Amministrazione;</w:t>
      </w:r>
    </w:p>
    <w:p w14:paraId="6B1C8F44" w14:textId="77777777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 a conoscenza della nozione giuridica di “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 w:rsidRPr="002544DC">
        <w:rPr>
          <w:rFonts w:ascii="GillSans" w:hAnsi="GillSans" w:cs="Calibri"/>
          <w:color w:val="000000"/>
          <w:sz w:val="22"/>
          <w:szCs w:val="22"/>
        </w:rPr>
        <w:t>” che si realizza quando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viene affidata un alta responsabilità decisionale a un soggetto che abbia interessi economici,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personali o professionali in conflitto con l’imparzialità richiesta da tale responsabilità;</w:t>
      </w:r>
    </w:p>
    <w:p w14:paraId="41B103E9" w14:textId="324AE5DD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gli incarichi di seguito indicati in enti di diritto privato regolati o finanziati dalla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P.A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4E502A">
        <w:rPr>
          <w:rFonts w:ascii="GillSans" w:hAnsi="GillSans" w:cs="Calibri"/>
          <w:color w:val="000000"/>
          <w:sz w:val="22"/>
          <w:szCs w:val="22"/>
        </w:rPr>
        <w:t>NESSUNO;</w:t>
      </w:r>
    </w:p>
    <w:p w14:paraId="3EEFE42D" w14:textId="1964CE0E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le seguenti attività professionali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4E502A">
        <w:rPr>
          <w:rFonts w:ascii="GillSans" w:hAnsi="GillSans" w:cs="Calibri"/>
          <w:color w:val="000000"/>
          <w:sz w:val="22"/>
          <w:szCs w:val="22"/>
        </w:rPr>
        <w:t>AVVOCATO;</w:t>
      </w:r>
    </w:p>
    <w:p w14:paraId="141166B8" w14:textId="77777777" w:rsidR="005F15CE" w:rsidRPr="005F15CE" w:rsidRDefault="005F15CE" w:rsidP="00254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di non trovarsi in situazioni di conflitto di interesse secondo quando disposto dall’art. 51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p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>;</w:t>
      </w:r>
    </w:p>
    <w:p w14:paraId="7A9E688C" w14:textId="77777777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che non sussiste alcuna causa che possa configurare in capo al dichiarante una situazione una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situazione di conflitto di interesse,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anche potenziale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rispetto alla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Collaborazione/Consulenza da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svolgere;</w:t>
      </w:r>
    </w:p>
    <w:p w14:paraId="2A1DBC8B" w14:textId="7166676C"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dover dichiarare i seguenti fatti o situazioni in materia di conflitto di interessi, che ritiene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debbano essere portati a conoscenza dell’Amministrazione ivi compresi elementi relativi ai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comportamenti del proprio nucleo familiare, coniuge, compagno/a, figli a carico che vivono sotto il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proprio stesso tetto: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731C90">
        <w:rPr>
          <w:rFonts w:ascii="GillSans" w:hAnsi="GillSans" w:cs="Calibri"/>
          <w:color w:val="000000"/>
          <w:sz w:val="22"/>
          <w:szCs w:val="22"/>
        </w:rPr>
        <w:t>NESSUNO;</w:t>
      </w:r>
    </w:p>
    <w:p w14:paraId="51D6F9BC" w14:textId="77777777"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essere a conoscenza del fatto che, qualora nell’esecuzione dell’incarico di Collaborazione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intervenga una causa di conflitto di interessi, il sottoscritto dovrà comunicarla tempestivamente</w:t>
      </w:r>
      <w:r w:rsid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all’Amministrazione ed astenersi dall’ulteriore esecuzione dell’incarico;</w:t>
      </w:r>
    </w:p>
    <w:p w14:paraId="3F3787F3" w14:textId="77777777"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lastRenderedPageBreak/>
        <w:t xml:space="preserve">che non ricorre alcuna delle cause di incompatibilità dell’incarico come descritte nel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="007302D8">
        <w:rPr>
          <w:rFonts w:ascii="GillSans" w:hAnsi="GillSans" w:cs="Calibri"/>
          <w:color w:val="000000"/>
          <w:sz w:val="22"/>
          <w:szCs w:val="22"/>
        </w:rPr>
        <w:t xml:space="preserve"> n. </w:t>
      </w:r>
      <w:r w:rsidRPr="007302D8">
        <w:rPr>
          <w:rFonts w:ascii="GillSans" w:hAnsi="GillSans" w:cs="Calibri"/>
          <w:color w:val="000000"/>
          <w:sz w:val="22"/>
          <w:szCs w:val="22"/>
        </w:rPr>
        <w:t xml:space="preserve">39/2013 e nell’art. 35- bis del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7302D8">
        <w:rPr>
          <w:rFonts w:ascii="GillSans" w:hAnsi="GillSans" w:cs="Calibri"/>
          <w:color w:val="000000"/>
          <w:sz w:val="22"/>
          <w:szCs w:val="22"/>
        </w:rPr>
        <w:t xml:space="preserve"> n. 165/2001 e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s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m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i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14:paraId="50674945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Consapevole dell’obbligo di pubblicazione ai sensi dell’art. 15 del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33/2013 concernenti i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titolari di incarichi dirigenziali e di collaborazione.</w:t>
      </w:r>
    </w:p>
    <w:p w14:paraId="2572CDA9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Ai sensi e per gli effetti di cui al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196/2003, che i dati personali raccolti saranno trattati anche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 strumenti informatici esclusivamente nell’ambito del procedimento per il quale la presente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dichiarazione viene resa.</w:t>
      </w:r>
    </w:p>
    <w:p w14:paraId="40488DF5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3A7AC75F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22C3" w14:paraId="78759620" w14:textId="77777777" w:rsidTr="00F222C3">
        <w:tc>
          <w:tcPr>
            <w:tcW w:w="4889" w:type="dxa"/>
          </w:tcPr>
          <w:p w14:paraId="133F5969" w14:textId="4BE87238" w:rsidR="00F222C3" w:rsidRDefault="00F222C3" w:rsidP="005F15CE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>Roma</w:t>
            </w:r>
            <w:r w:rsidR="00731C90">
              <w:rPr>
                <w:rFonts w:ascii="GillSans" w:hAnsi="GillSans" w:cs="Calibri"/>
                <w:color w:val="000000"/>
                <w:sz w:val="22"/>
                <w:szCs w:val="22"/>
              </w:rPr>
              <w:t>, 28.09.2020</w:t>
            </w:r>
          </w:p>
        </w:tc>
        <w:tc>
          <w:tcPr>
            <w:tcW w:w="4889" w:type="dxa"/>
          </w:tcPr>
          <w:p w14:paraId="0055D914" w14:textId="77777777" w:rsidR="00F222C3" w:rsidRDefault="00F222C3" w:rsidP="00F222C3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>------------------------------------</w:t>
            </w:r>
          </w:p>
        </w:tc>
      </w:tr>
    </w:tbl>
    <w:p w14:paraId="520D3CDE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44A53DB6" w14:textId="77777777" w:rsidR="00731C90" w:rsidRDefault="00731C90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5210F410" w14:textId="77777777" w:rsidR="00731C90" w:rsidRDefault="00731C90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363D6425" w14:textId="77777777" w:rsidR="00731C90" w:rsidRDefault="00731C90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316CC996" w14:textId="77777777" w:rsidR="00731C90" w:rsidRDefault="00731C90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60E4E072" w14:textId="6C37BD79" w:rsid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Allegare copia del documento di riconoscimento</w:t>
      </w:r>
    </w:p>
    <w:p w14:paraId="47836069" w14:textId="77777777" w:rsidR="00246A44" w:rsidRPr="005F15CE" w:rsidRDefault="00246A44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161684AC" w14:textId="77777777" w:rsidR="005F15CE" w:rsidRPr="005F15CE" w:rsidRDefault="00F222C3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>(1)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14:paraId="78EC7CDE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14:paraId="237F4E4E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39/2013 – </w:t>
      </w:r>
      <w:r w:rsidRPr="005F15CE">
        <w:rPr>
          <w:rFonts w:ascii="GillSans" w:hAnsi="GillSans"/>
          <w:color w:val="000000"/>
          <w:sz w:val="18"/>
          <w:szCs w:val="18"/>
        </w:rPr>
        <w:t xml:space="preserve">dichiarazione sulla insussistenza di cause di </w:t>
      </w:r>
      <w:proofErr w:type="spellStart"/>
      <w:r w:rsidRPr="005F15CE">
        <w:rPr>
          <w:rFonts w:ascii="GillSans" w:hAnsi="GillSans"/>
          <w:color w:val="000000"/>
          <w:sz w:val="18"/>
          <w:szCs w:val="18"/>
        </w:rPr>
        <w:t>inconferibilità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o incompatibilità;</w:t>
      </w:r>
    </w:p>
    <w:p w14:paraId="65EBD156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13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196/2003 e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s.m.i.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14:paraId="22CAC9A1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51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14:paraId="58A5E2DA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14:paraId="6EFCBC54" w14:textId="77777777" w:rsidR="005F15CE" w:rsidRPr="005F15CE" w:rsidRDefault="005F15CE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14:paraId="70D1DB5F" w14:textId="77777777" w:rsidR="005F15CE" w:rsidRPr="005F15CE" w:rsidRDefault="00246A44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14:paraId="3DD9CB44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all'acquisizione di beni, servizi e forniture, nonché alla concessione o all'erogazione di sovvenzioni, contributi, sussidi, ausili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14:paraId="6757BE00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14:paraId="2C20FF16" w14:textId="77777777" w:rsidR="005F15CE" w:rsidRDefault="00246A44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14:paraId="08E6B6DA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6903"/>
      </w:tblGrid>
      <w:tr w:rsidR="00246A44" w14:paraId="3B995F19" w14:textId="77777777" w:rsidTr="006642D9">
        <w:tc>
          <w:tcPr>
            <w:tcW w:w="4889" w:type="dxa"/>
          </w:tcPr>
          <w:p w14:paraId="16018418" w14:textId="2CEC003D" w:rsidR="00246A44" w:rsidRDefault="00246A44" w:rsidP="006642D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ROMA li</w:t>
            </w:r>
            <w:r w:rsidR="00731C90">
              <w:rPr>
                <w:rFonts w:ascii="GillSans" w:hAnsi="GillSans" w:cs="Calibri"/>
                <w:color w:val="000000"/>
                <w:sz w:val="20"/>
                <w:szCs w:val="20"/>
              </w:rPr>
              <w:t xml:space="preserve"> </w:t>
            </w:r>
            <w:r w:rsidR="00731C90">
              <w:rPr>
                <w:rFonts w:ascii="GillSans" w:hAnsi="GillSans" w:cs="Calibri"/>
                <w:color w:val="000000"/>
                <w:sz w:val="22"/>
                <w:szCs w:val="22"/>
              </w:rPr>
              <w:t>28.09.2020</w:t>
            </w:r>
          </w:p>
        </w:tc>
        <w:tc>
          <w:tcPr>
            <w:tcW w:w="4889" w:type="dxa"/>
          </w:tcPr>
          <w:p w14:paraId="5335375A" w14:textId="77777777" w:rsidR="00246A44" w:rsidRDefault="00246A44" w:rsidP="006642D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FC0E82" w:rsidRPr="00FC0E82">
              <w:rPr>
                <w:rFonts w:ascii="GillSans" w:hAnsi="GillSans" w:cs="Calibri"/>
                <w:color w:val="000000"/>
                <w:sz w:val="22"/>
                <w:szCs w:val="22"/>
              </w:rPr>
              <w:t>----------------------------------------------------------------------------</w:t>
            </w:r>
          </w:p>
        </w:tc>
      </w:tr>
    </w:tbl>
    <w:p w14:paraId="05E20F0A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sectPr w:rsidR="00246A4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52969" w14:textId="77777777" w:rsidR="00070F46" w:rsidRDefault="00070F46" w:rsidP="007943DC">
      <w:r>
        <w:separator/>
      </w:r>
    </w:p>
  </w:endnote>
  <w:endnote w:type="continuationSeparator" w:id="0">
    <w:p w14:paraId="7B187961" w14:textId="77777777" w:rsidR="00070F46" w:rsidRDefault="00070F46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D318C82" w14:textId="77777777"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F629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proofErr w:type="spellStart"/>
            <w:r>
              <w:t>pagg</w:t>
            </w:r>
            <w:proofErr w:type="spellEnd"/>
            <w:r>
              <w:t xml:space="preserve">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F629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E8387C" w14:textId="77777777"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7155F" w14:textId="77777777" w:rsidR="00070F46" w:rsidRDefault="00070F46" w:rsidP="007943DC">
      <w:r>
        <w:separator/>
      </w:r>
    </w:p>
  </w:footnote>
  <w:footnote w:type="continuationSeparator" w:id="0">
    <w:p w14:paraId="7CA12DE4" w14:textId="77777777" w:rsidR="00070F46" w:rsidRDefault="00070F46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070F46"/>
    <w:rsid w:val="000F6291"/>
    <w:rsid w:val="00142AB6"/>
    <w:rsid w:val="00180D96"/>
    <w:rsid w:val="00246A44"/>
    <w:rsid w:val="002544DC"/>
    <w:rsid w:val="004E502A"/>
    <w:rsid w:val="005F15CE"/>
    <w:rsid w:val="007302D8"/>
    <w:rsid w:val="00731C90"/>
    <w:rsid w:val="007943DC"/>
    <w:rsid w:val="009855F7"/>
    <w:rsid w:val="009C7088"/>
    <w:rsid w:val="00E20225"/>
    <w:rsid w:val="00F222C3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E1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6B86-5EB3-4A2C-A693-3DFEDA87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15575673</Template>
  <TotalTime>1</TotalTime>
  <Pages>2</Pages>
  <Words>1014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Garbini Roberto</dc:creator>
  <cp:lastModifiedBy>Garbini Roberto</cp:lastModifiedBy>
  <cp:revision>2</cp:revision>
  <dcterms:created xsi:type="dcterms:W3CDTF">2020-09-30T12:40:00Z</dcterms:created>
  <dcterms:modified xsi:type="dcterms:W3CDTF">2020-09-30T12:40:00Z</dcterms:modified>
</cp:coreProperties>
</file>